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Приказ № 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 основании абзаца 10 пункта 2 указания Банка России от 11 марта 2014 г. № 3210-У приказываю: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Хранить наличные денежные средства в кассе без установления лимита остатка в кассе.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Ответственной за сохранность денежных средств назначить 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2410"/>
        <w:gridCol w:w="4501"/>
        <w:tblGridChange w:id="0">
          <w:tblGrid>
            <w:gridCol w:w="2660"/>
            <w:gridCol w:w="2410"/>
            <w:gridCol w:w="450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С приказом ознакомлены: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Главный бухгалтер 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Кассир </w:t>
        <w:tab/>
        <w:t xml:space="preserve">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